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66D14C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45001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4490B1A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3593DE2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</w:rPr>
      </w:pPr>
    </w:p>
    <w:p w14:paraId="157085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23007"/>
      <w:bookmarkStart w:id="1" w:name="_Toc32670"/>
      <w:bookmarkStart w:id="2" w:name="_Toc16417"/>
      <w:bookmarkStart w:id="3" w:name="_Toc31792"/>
      <w:bookmarkStart w:id="4" w:name="_Toc1056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788618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学生操作指南</w:t>
      </w:r>
    </w:p>
    <w:p w14:paraId="7B1572D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375D44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4AF170A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186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3FDBBE16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</w:rPr>
          </w:pPr>
          <w:bookmarkStart w:id="72" w:name="_GoBack"/>
          <w:bookmarkEnd w:id="72"/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56BB2CC1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 </w:t>
          </w:r>
          <w:r>
            <w:rPr>
              <w:rFonts w:hint="eastAsia" w:ascii="仿宋" w:hAnsi="仿宋" w:eastAsia="仿宋" w:cs="仿宋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_Toc278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BC3EAF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_Toc19094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1.1. </w:t>
          </w:r>
          <w:r>
            <w:rPr>
              <w:rFonts w:hint="eastAsia" w:ascii="仿宋" w:hAnsi="仿宋" w:eastAsia="仿宋" w:cs="仿宋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_Toc19094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E2B75E6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_Toc11002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1.2.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_Toc11002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DC493AE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_Toc26708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 </w:t>
          </w:r>
          <w:r>
            <w:rPr>
              <w:rFonts w:hint="eastAsia" w:cs="仿宋"/>
              <w:highlight w:val="none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_Toc26708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9A97D9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_Toc5414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1.3.1. </w:t>
          </w:r>
          <w:r>
            <w:rPr>
              <w:rFonts w:hint="eastAsia"/>
              <w:highlight w:val="none"/>
              <w:lang w:val="en-US" w:eastAsia="zh-CN"/>
            </w:rPr>
            <w:t>申报入口</w:t>
          </w:r>
          <w:r>
            <w:tab/>
          </w:r>
          <w:r>
            <w:fldChar w:fldCharType="begin"/>
          </w:r>
          <w:r>
            <w:instrText xml:space="preserve"> PAGEREF _Toc5414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8A6BDD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_Toc7872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1.3.2. </w:t>
          </w:r>
          <w:r>
            <w:rPr>
              <w:rFonts w:hint="eastAsia"/>
              <w:highlight w:val="none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_Toc7872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1A1E61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_Toc21936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1.3.3. </w:t>
          </w:r>
          <w:r>
            <w:rPr>
              <w:rFonts w:hint="eastAsia"/>
              <w:highlight w:val="none"/>
              <w:lang w:val="en-US" w:eastAsia="zh-CN"/>
            </w:rPr>
            <w:t>综合统计/快捷入口</w:t>
          </w:r>
          <w:r>
            <w:tab/>
          </w:r>
          <w:r>
            <w:fldChar w:fldCharType="begin"/>
          </w:r>
          <w:r>
            <w:instrText xml:space="preserve"> PAGEREF _Toc21936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BAC879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_Toc27090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1.3.4. </w:t>
          </w:r>
          <w:r>
            <w:rPr>
              <w:rFonts w:hint="eastAsia"/>
              <w:highlight w:val="none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_Toc27090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293DBA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_Toc9734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1.3.5. </w:t>
          </w:r>
          <w:r>
            <w:rPr>
              <w:rFonts w:hint="eastAsia"/>
              <w:highlight w:val="none"/>
              <w:lang w:val="en-US" w:eastAsia="zh-CN"/>
            </w:rPr>
            <w:t>能力评价</w:t>
          </w:r>
          <w:r>
            <w:tab/>
          </w:r>
          <w:r>
            <w:fldChar w:fldCharType="begin"/>
          </w:r>
          <w:r>
            <w:instrText xml:space="preserve"> PAGEREF _Toc9734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ECC118C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_Toc23887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_Toc23887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22110E2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_Toc12986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ascii="仿宋" w:hAnsi="仿宋" w:eastAsia="仿宋" w:cs="仿宋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_Toc12986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BB56E47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_Toc17363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 </w:t>
          </w:r>
          <w:r>
            <w:rPr>
              <w:rFonts w:hint="eastAsia" w:ascii="仿宋" w:hAnsi="仿宋" w:eastAsia="仿宋" w:cs="仿宋"/>
              <w:lang w:val="en-US" w:eastAsia="zh-CN"/>
            </w:rPr>
            <w:t>项目立项申报</w:t>
          </w:r>
          <w:r>
            <w:tab/>
          </w:r>
          <w:r>
            <w:fldChar w:fldCharType="begin"/>
          </w:r>
          <w:r>
            <w:instrText xml:space="preserve"> PAGEREF _Toc17363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4673DA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_Toc4841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2.2.1. </w:t>
          </w:r>
          <w:r>
            <w:rPr>
              <w:rFonts w:hint="eastAsia" w:ascii="仿宋" w:hAnsi="仿宋" w:eastAsia="仿宋" w:cs="仿宋"/>
              <w:lang w:val="en-US" w:eastAsia="zh-CN"/>
            </w:rPr>
            <w:t>进入立项填报页面</w:t>
          </w:r>
          <w:r>
            <w:tab/>
          </w:r>
          <w:r>
            <w:fldChar w:fldCharType="begin"/>
          </w:r>
          <w:r>
            <w:instrText xml:space="preserve"> PAGEREF _Toc4841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AF6181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_Toc15160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2.2.2. </w:t>
          </w:r>
          <w:r>
            <w:rPr>
              <w:rFonts w:hint="eastAsia" w:ascii="仿宋" w:hAnsi="仿宋" w:eastAsia="仿宋" w:cs="仿宋"/>
              <w:lang w:val="en-US" w:eastAsia="zh-CN"/>
            </w:rPr>
            <w:t>查看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填报指南</w:t>
          </w:r>
          <w:r>
            <w:tab/>
          </w:r>
          <w:r>
            <w:fldChar w:fldCharType="begin"/>
          </w:r>
          <w:r>
            <w:instrText xml:space="preserve"> PAGEREF _Toc15160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010A17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_Toc27527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2.2.3.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项目信息填写</w:t>
          </w:r>
          <w:r>
            <w:tab/>
          </w:r>
          <w:r>
            <w:fldChar w:fldCharType="begin"/>
          </w:r>
          <w:r>
            <w:instrText xml:space="preserve"> PAGEREF _Toc27527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30C356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_Toc24857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2.2.4. </w:t>
          </w:r>
          <w:r>
            <w:rPr>
              <w:rFonts w:hint="eastAsia" w:ascii="仿宋" w:hAnsi="仿宋" w:eastAsia="仿宋" w:cs="仿宋"/>
              <w:lang w:val="en-US" w:eastAsia="zh-CN"/>
            </w:rPr>
            <w:t>项目成员</w:t>
          </w:r>
          <w:r>
            <w:rPr>
              <w:rFonts w:hint="eastAsia" w:cs="仿宋"/>
              <w:lang w:val="en-US" w:eastAsia="zh-CN"/>
            </w:rPr>
            <w:t>选择</w:t>
          </w:r>
          <w:r>
            <w:tab/>
          </w:r>
          <w:r>
            <w:fldChar w:fldCharType="begin"/>
          </w:r>
          <w:r>
            <w:instrText xml:space="preserve"> PAGEREF _Toc24857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AEE259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_Toc9811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2.2.5.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_Toc9811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1F2D63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_Toc30851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2.2.6. </w:t>
          </w:r>
          <w:r>
            <w:rPr>
              <w:rFonts w:hint="eastAsia" w:ascii="仿宋" w:hAnsi="仿宋" w:eastAsia="仿宋" w:cs="仿宋"/>
              <w:lang w:val="en-US" w:eastAsia="zh-CN"/>
            </w:rPr>
            <w:t>经费预算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_Toc30851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DA83AB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_Toc8525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2.2.7.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提交/保存申报</w:t>
          </w:r>
          <w:r>
            <w:tab/>
          </w:r>
          <w:r>
            <w:fldChar w:fldCharType="begin"/>
          </w:r>
          <w:r>
            <w:instrText xml:space="preserve"> PAGEREF _Toc8525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A133DEE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_Toc31247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 </w:t>
          </w:r>
          <w:r>
            <w:rPr>
              <w:rFonts w:hint="eastAsia" w:ascii="仿宋" w:hAnsi="仿宋" w:eastAsia="仿宋" w:cs="仿宋"/>
              <w:lang w:val="en-US" w:eastAsia="zh-CN"/>
            </w:rPr>
            <w:t>查看项目详情</w:t>
          </w:r>
          <w:r>
            <w:rPr>
              <w:rFonts w:hint="eastAsia" w:cs="仿宋"/>
              <w:lang w:val="en-US" w:eastAsia="zh-CN"/>
            </w:rPr>
            <w:t>及往期项目</w:t>
          </w:r>
          <w:r>
            <w:tab/>
          </w:r>
          <w:r>
            <w:fldChar w:fldCharType="begin"/>
          </w:r>
          <w:r>
            <w:instrText xml:space="preserve"> PAGEREF _Toc31247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FD61DE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_Toc8921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 </w:t>
          </w:r>
          <w:r>
            <w:rPr>
              <w:rFonts w:hint="eastAsia" w:ascii="仿宋" w:hAnsi="仿宋" w:eastAsia="仿宋" w:cs="仿宋"/>
              <w:lang w:val="en-US" w:eastAsia="zh-CN"/>
            </w:rPr>
            <w:t>学生提交结题验收</w:t>
          </w:r>
          <w:r>
            <w:rPr>
              <w:rFonts w:hint="eastAsia" w:cs="仿宋"/>
              <w:lang w:val="en-US" w:eastAsia="zh-CN"/>
            </w:rPr>
            <w:t>申报</w:t>
          </w:r>
          <w:r>
            <w:tab/>
          </w:r>
          <w:r>
            <w:fldChar w:fldCharType="begin"/>
          </w:r>
          <w:r>
            <w:instrText xml:space="preserve"> PAGEREF _Toc8921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F20FC7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_Toc18943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2.4.1. </w:t>
          </w:r>
          <w:r>
            <w:rPr>
              <w:rFonts w:hint="eastAsia" w:ascii="仿宋" w:hAnsi="仿宋" w:eastAsia="仿宋" w:cs="仿宋"/>
              <w:lang w:val="en-US" w:eastAsia="zh-CN"/>
            </w:rPr>
            <w:t>进入提交材料填报页面</w:t>
          </w:r>
          <w:r>
            <w:tab/>
          </w:r>
          <w:r>
            <w:fldChar w:fldCharType="begin"/>
          </w:r>
          <w:r>
            <w:instrText xml:space="preserve"> PAGEREF _Toc18943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F07562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_Toc32754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2.4.2. </w:t>
          </w:r>
          <w:r>
            <w:rPr>
              <w:rFonts w:hint="eastAsia" w:ascii="仿宋" w:hAnsi="仿宋" w:eastAsia="仿宋" w:cs="仿宋"/>
              <w:lang w:val="en-US" w:eastAsia="zh-CN"/>
            </w:rPr>
            <w:t>查看</w:t>
          </w:r>
          <w:r>
            <w:rPr>
              <w:rFonts w:hint="eastAsia" w:cs="仿宋"/>
              <w:lang w:val="en-US" w:eastAsia="zh-CN"/>
            </w:rPr>
            <w:t>结题</w:t>
          </w:r>
          <w:r>
            <w:rPr>
              <w:rFonts w:hint="eastAsia" w:ascii="仿宋" w:hAnsi="仿宋" w:eastAsia="仿宋" w:cs="仿宋"/>
              <w:lang w:val="en-US" w:eastAsia="zh-CN"/>
            </w:rPr>
            <w:t>填报指南</w:t>
          </w:r>
          <w:r>
            <w:tab/>
          </w:r>
          <w:r>
            <w:fldChar w:fldCharType="begin"/>
          </w:r>
          <w:r>
            <w:instrText xml:space="preserve"> PAGEREF _Toc32754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C84C6F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_Toc27668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2.4.3. </w:t>
          </w:r>
          <w:r>
            <w:rPr>
              <w:rFonts w:hint="eastAsia" w:cs="仿宋"/>
              <w:lang w:val="en-US" w:eastAsia="zh-CN"/>
            </w:rPr>
            <w:t>结题验收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tab/>
          </w:r>
          <w:r>
            <w:fldChar w:fldCharType="begin"/>
          </w:r>
          <w:r>
            <w:instrText xml:space="preserve"> PAGEREF _Toc27668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E5E338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_Toc3368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2.4.4. </w:t>
          </w:r>
          <w:r>
            <w:rPr>
              <w:rFonts w:hint="eastAsia" w:cs="仿宋"/>
              <w:lang w:val="en-US" w:eastAsia="zh-CN"/>
            </w:rPr>
            <w:t>结题验收成果统计</w:t>
          </w:r>
          <w:r>
            <w:tab/>
          </w:r>
          <w:r>
            <w:fldChar w:fldCharType="begin"/>
          </w:r>
          <w:r>
            <w:instrText xml:space="preserve"> PAGEREF _Toc3368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193BAC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_Toc2868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2.4.5. </w:t>
          </w:r>
          <w:r>
            <w:rPr>
              <w:rFonts w:hint="eastAsia" w:ascii="仿宋" w:hAnsi="仿宋" w:eastAsia="仿宋" w:cs="仿宋"/>
              <w:lang w:val="en-US" w:eastAsia="zh-CN"/>
            </w:rPr>
            <w:t>经费使用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_Toc2868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366382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_Toc30765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2.4.6.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</w:t>
          </w:r>
          <w:r>
            <w:rPr>
              <w:rFonts w:hint="eastAsia" w:cs="仿宋"/>
              <w:lang w:val="en-US" w:eastAsia="zh-CN"/>
            </w:rPr>
            <w:t>结题验收申报</w:t>
          </w:r>
          <w:r>
            <w:tab/>
          </w:r>
          <w:r>
            <w:fldChar w:fldCharType="begin"/>
          </w:r>
          <w:r>
            <w:instrText xml:space="preserve"> PAGEREF _Toc30765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87FE50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_Toc6935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2.4.7. </w:t>
          </w:r>
          <w:r>
            <w:rPr>
              <w:rFonts w:hint="eastAsia" w:cs="仿宋"/>
              <w:lang w:val="en-US" w:eastAsia="zh-CN"/>
            </w:rPr>
            <w:t>申请项目延期</w:t>
          </w:r>
          <w:r>
            <w:tab/>
          </w:r>
          <w:r>
            <w:fldChar w:fldCharType="begin"/>
          </w:r>
          <w:r>
            <w:instrText xml:space="preserve"> PAGEREF _Toc6935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815416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_Toc22344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2.4.8. </w:t>
          </w:r>
          <w:r>
            <w:rPr>
              <w:rFonts w:hint="eastAsia" w:cs="仿宋"/>
              <w:lang w:val="en-US" w:eastAsia="zh-CN"/>
            </w:rPr>
            <w:t>申请项目中止</w:t>
          </w:r>
          <w:r>
            <w:tab/>
          </w:r>
          <w:r>
            <w:fldChar w:fldCharType="begin"/>
          </w:r>
          <w:r>
            <w:instrText xml:space="preserve"> PAGEREF _Toc22344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73A0F31">
          <w:pPr>
            <w:pStyle w:val="14"/>
            <w:tabs>
              <w:tab w:val="right" w:leader="dot" w:pos="9070"/>
            </w:tabs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_Toc19609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2.4.9. </w:t>
          </w:r>
          <w:r>
            <w:rPr>
              <w:rFonts w:hint="eastAsia" w:cs="仿宋"/>
              <w:lang w:val="en-US" w:eastAsia="zh-CN"/>
            </w:rPr>
            <w:t>下载结题证书</w:t>
          </w:r>
          <w:r>
            <w:tab/>
          </w:r>
          <w:r>
            <w:fldChar w:fldCharType="begin"/>
          </w:r>
          <w:r>
            <w:instrText xml:space="preserve"> PAGEREF _Toc19609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 w14:paraId="775B80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0" w:firstLineChars="0"/>
        <w:jc w:val="both"/>
        <w:textAlignment w:val="auto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sectPr>
          <w:footerReference r:id="rId5" w:type="default"/>
          <w:pgSz w:w="11906" w:h="16838"/>
          <w:pgMar w:top="1361" w:right="1418" w:bottom="1134" w:left="1418" w:header="567" w:footer="567" w:gutter="0"/>
          <w:pgNumType w:fmt="decimal"/>
          <w:cols w:space="425" w:num="1"/>
          <w:titlePg/>
          <w:docGrid w:type="lines" w:linePitch="312" w:charSpace="0"/>
        </w:sectPr>
      </w:pPr>
    </w:p>
    <w:p w14:paraId="5AA9D574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5" w:name="_Toc278"/>
      <w:r>
        <w:rPr>
          <w:rFonts w:hint="eastAsia" w:ascii="仿宋" w:hAnsi="仿宋" w:eastAsia="仿宋" w:cs="仿宋"/>
          <w:lang w:val="en-US" w:eastAsia="zh-CN"/>
        </w:rPr>
        <w:t>信息门户</w:t>
      </w:r>
      <w:bookmarkEnd w:id="5"/>
    </w:p>
    <w:p w14:paraId="3D9C99B1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6" w:name="_Toc19094"/>
      <w:r>
        <w:rPr>
          <w:rFonts w:hint="eastAsia" w:ascii="仿宋" w:hAnsi="仿宋" w:eastAsia="仿宋" w:cs="仿宋"/>
          <w:lang w:val="en-US" w:eastAsia="zh-CN"/>
        </w:rPr>
        <w:t>输入网址进入信息门户</w:t>
      </w:r>
      <w:bookmarkEnd w:id="6"/>
    </w:p>
    <w:p w14:paraId="7537AE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，进入创新实践管理平台首页；</w:t>
      </w:r>
    </w:p>
    <w:p w14:paraId="201F769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0935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7" w:name="_Toc14734"/>
      <w:bookmarkStart w:id="8" w:name="_Toc12425"/>
      <w:bookmarkStart w:id="9" w:name="_Toc2943"/>
      <w:bookmarkStart w:id="10" w:name="_Toc11002"/>
      <w:r>
        <w:rPr>
          <w:rFonts w:hint="eastAsia" w:ascii="仿宋" w:hAnsi="仿宋" w:eastAsia="仿宋" w:cs="仿宋"/>
          <w:highlight w:val="none"/>
          <w:lang w:val="en-US" w:eastAsia="zh-CN"/>
        </w:rPr>
        <w:t>通过南航教务系统进行登录</w:t>
      </w:r>
      <w:bookmarkEnd w:id="7"/>
      <w:bookmarkEnd w:id="8"/>
      <w:bookmarkEnd w:id="9"/>
      <w:bookmarkEnd w:id="10"/>
    </w:p>
    <w:p w14:paraId="7FAD376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首先，进入南航教务处官网首页，在页面中找到“创新实践管理平台”快捷入口，点击进入创新实践管理平台首页，点击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右上角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“登录”按钮，进入统一身份认证登录页面。</w:t>
      </w:r>
    </w:p>
    <w:p w14:paraId="1E9500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rFonts w:hint="eastAsia" w:ascii="仿宋" w:hAnsi="仿宋" w:eastAsia="仿宋" w:cs="仿宋"/>
          <w:highlight w:val="none"/>
        </w:rP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D27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DD4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学生输入自己的账号密码后，点击“登录”按钮，即可进入信息门户。</w:t>
      </w:r>
    </w:p>
    <w:p w14:paraId="06A612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1154C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11" w:name="_Toc23570"/>
      <w:bookmarkStart w:id="12" w:name="_Toc19512"/>
      <w:bookmarkStart w:id="13" w:name="_Toc17382"/>
      <w:bookmarkStart w:id="14" w:name="_Toc26708"/>
      <w:r>
        <w:rPr>
          <w:rFonts w:hint="eastAsia" w:cs="仿宋"/>
          <w:highlight w:val="none"/>
          <w:lang w:val="en-US" w:eastAsia="zh-CN"/>
        </w:rPr>
        <w:t>信息门户详情</w:t>
      </w:r>
      <w:bookmarkEnd w:id="11"/>
      <w:bookmarkEnd w:id="12"/>
      <w:bookmarkEnd w:id="13"/>
      <w:bookmarkEnd w:id="14"/>
    </w:p>
    <w:p w14:paraId="0817697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0500" cy="2800985"/>
            <wp:effectExtent l="0" t="0" r="0" b="571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98EC9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15" w:name="_Toc6710"/>
      <w:bookmarkStart w:id="16" w:name="_Toc674"/>
      <w:bookmarkStart w:id="17" w:name="_Toc21167"/>
      <w:bookmarkStart w:id="18" w:name="_Toc3260"/>
      <w:bookmarkStart w:id="19" w:name="_Toc28810"/>
      <w:bookmarkStart w:id="20" w:name="_Toc5414"/>
      <w:r>
        <w:rPr>
          <w:rFonts w:hint="eastAsia"/>
          <w:highlight w:val="none"/>
          <w:lang w:val="en-US" w:eastAsia="zh-CN"/>
        </w:rPr>
        <w:t>申报入口</w:t>
      </w:r>
      <w:bookmarkEnd w:id="15"/>
      <w:bookmarkEnd w:id="16"/>
      <w:bookmarkEnd w:id="17"/>
      <w:bookmarkEnd w:id="18"/>
      <w:bookmarkEnd w:id="19"/>
      <w:bookmarkEnd w:id="20"/>
    </w:p>
    <w:p w14:paraId="3B5EFC1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上方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申报入口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，显示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当前学生可申报的科创项目、学生竞赛、活动讲座、资质作品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70497F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5420" cy="720725"/>
            <wp:effectExtent l="0" t="0" r="5080" b="317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8C9B4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21" w:name="_Toc1996"/>
      <w:bookmarkStart w:id="22" w:name="_Toc1341"/>
      <w:bookmarkStart w:id="23" w:name="_Toc4948"/>
      <w:bookmarkStart w:id="24" w:name="_Toc4615"/>
      <w:bookmarkStart w:id="25" w:name="_Toc22268"/>
      <w:bookmarkStart w:id="26" w:name="_Toc7872"/>
      <w:r>
        <w:rPr>
          <w:rFonts w:hint="eastAsia"/>
          <w:highlight w:val="none"/>
          <w:lang w:val="en-US" w:eastAsia="zh-CN"/>
        </w:rPr>
        <w:t>个人信息面板</w:t>
      </w:r>
      <w:bookmarkEnd w:id="21"/>
      <w:bookmarkEnd w:id="22"/>
      <w:bookmarkEnd w:id="23"/>
      <w:bookmarkEnd w:id="24"/>
      <w:bookmarkEnd w:id="25"/>
      <w:bookmarkEnd w:id="26"/>
    </w:p>
    <w:p w14:paraId="49DAB2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信息门户首页左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侧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板块为个人信息面板，显示学生个人信息。</w:t>
      </w:r>
    </w:p>
    <w:p w14:paraId="766658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5420" cy="1722120"/>
            <wp:effectExtent l="0" t="0" r="508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540BC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27" w:name="_Toc32316"/>
      <w:bookmarkStart w:id="28" w:name="_Toc24023"/>
      <w:bookmarkStart w:id="29" w:name="_Toc30309"/>
      <w:bookmarkStart w:id="30" w:name="_Toc2047"/>
      <w:bookmarkStart w:id="31" w:name="_Toc25279"/>
      <w:bookmarkStart w:id="32" w:name="_Toc21936"/>
      <w:r>
        <w:rPr>
          <w:rFonts w:hint="eastAsia"/>
          <w:highlight w:val="none"/>
          <w:lang w:val="en-US" w:eastAsia="zh-CN"/>
        </w:rPr>
        <w:t>综合统计</w:t>
      </w:r>
      <w:bookmarkEnd w:id="27"/>
      <w:bookmarkEnd w:id="28"/>
      <w:bookmarkEnd w:id="29"/>
      <w:r>
        <w:rPr>
          <w:rFonts w:hint="eastAsia"/>
          <w:highlight w:val="none"/>
          <w:lang w:val="en-US" w:eastAsia="zh-CN"/>
        </w:rPr>
        <w:t>/快捷入口</w:t>
      </w:r>
      <w:bookmarkEnd w:id="30"/>
      <w:bookmarkEnd w:id="31"/>
      <w:bookmarkEnd w:id="32"/>
    </w:p>
    <w:p w14:paraId="51632E3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信息门户首页右侧板块为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数据统计板块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，点击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统计数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可进入相应系统。</w:t>
      </w:r>
    </w:p>
    <w:p w14:paraId="736DB0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7960" cy="1447800"/>
            <wp:effectExtent l="0" t="0" r="2540" b="0"/>
            <wp:docPr id="5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C183C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33" w:name="_Toc12146"/>
      <w:bookmarkStart w:id="34" w:name="_Toc404"/>
      <w:bookmarkStart w:id="35" w:name="_Toc21065"/>
      <w:bookmarkStart w:id="36" w:name="_Toc19817"/>
      <w:bookmarkStart w:id="37" w:name="_Toc4403"/>
      <w:bookmarkStart w:id="38" w:name="_Toc27090"/>
      <w:r>
        <w:rPr>
          <w:rFonts w:hint="eastAsia"/>
          <w:highlight w:val="none"/>
          <w:lang w:val="en-US" w:eastAsia="zh-CN"/>
        </w:rPr>
        <w:t>任务面板</w:t>
      </w:r>
      <w:bookmarkEnd w:id="33"/>
      <w:bookmarkEnd w:id="34"/>
      <w:bookmarkEnd w:id="35"/>
      <w:bookmarkEnd w:id="36"/>
      <w:bookmarkEnd w:id="37"/>
      <w:bookmarkEnd w:id="38"/>
    </w:p>
    <w:p w14:paraId="7F49D3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信息门户首页左下角板块为任务面板，可查看或快速操作相应项目。</w:t>
      </w:r>
    </w:p>
    <w:p w14:paraId="4FC49C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150" cy="2736215"/>
            <wp:effectExtent l="0" t="0" r="6350" b="6985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DF4B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点击任务板中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相应的系统板块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按钮，可切换查看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系统的任务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405701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3040" cy="1146810"/>
            <wp:effectExtent l="0" t="0" r="1016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946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点击“查看详情”按钮可进入相应项目详情页，待提交检查材料的项目会显示“提交材料”按钮，点击“提交材料”按钮可进行相应项目的材料提交。</w:t>
      </w:r>
    </w:p>
    <w:p w14:paraId="526E246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2597150"/>
            <wp:effectExtent l="0" t="0" r="1905" b="635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BDD91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39" w:name="_Toc3038"/>
      <w:bookmarkStart w:id="40" w:name="_Toc795"/>
      <w:bookmarkStart w:id="41" w:name="_Toc3730"/>
      <w:bookmarkStart w:id="42" w:name="_Toc8312"/>
      <w:bookmarkStart w:id="43" w:name="_Toc7762"/>
      <w:bookmarkStart w:id="44" w:name="_Toc9734"/>
      <w:r>
        <w:rPr>
          <w:rFonts w:hint="eastAsia"/>
          <w:highlight w:val="none"/>
          <w:lang w:val="en-US" w:eastAsia="zh-CN"/>
        </w:rPr>
        <w:t>能力评价</w:t>
      </w:r>
      <w:bookmarkEnd w:id="39"/>
      <w:bookmarkEnd w:id="40"/>
      <w:bookmarkEnd w:id="41"/>
      <w:bookmarkEnd w:id="42"/>
      <w:bookmarkEnd w:id="43"/>
      <w:bookmarkEnd w:id="44"/>
    </w:p>
    <w:p w14:paraId="6BB62EA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信息门户首页右下角为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学生能力评价，可查看学生的参与项目情况与获得积分情况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455E786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64785" cy="2837180"/>
            <wp:effectExtent l="0" t="0" r="5715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rcRect b="2540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5CD58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45" w:name="_Toc23887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45"/>
    </w:p>
    <w:p w14:paraId="77ADF3B7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9230" cy="3182620"/>
            <wp:effectExtent l="0" t="0" r="1270" b="5080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57BE5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46" w:name="_Toc12986"/>
      <w:r>
        <w:rPr>
          <w:rFonts w:hint="eastAsia" w:ascii="仿宋" w:hAnsi="仿宋" w:eastAsia="仿宋" w:cs="仿宋"/>
          <w:lang w:val="en-US" w:eastAsia="zh-CN"/>
        </w:rPr>
        <w:t>项目状态筛选</w:t>
      </w:r>
      <w:bookmarkEnd w:id="46"/>
    </w:p>
    <w:p w14:paraId="3BFFA46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43C136E3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71135" cy="1903730"/>
            <wp:effectExtent l="0" t="0" r="0" b="0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rcRect t="22607" b="7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E8E00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47" w:name="_Toc17363"/>
      <w:r>
        <w:rPr>
          <w:rFonts w:hint="eastAsia" w:ascii="仿宋" w:hAnsi="仿宋" w:eastAsia="仿宋" w:cs="仿宋"/>
          <w:lang w:val="en-US" w:eastAsia="zh-CN"/>
        </w:rPr>
        <w:t>项目立项申报</w:t>
      </w:r>
      <w:bookmarkEnd w:id="47"/>
    </w:p>
    <w:p w14:paraId="2B9B44C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8" w:name="_Toc13896"/>
      <w:bookmarkStart w:id="49" w:name="_Toc4841"/>
      <w:r>
        <w:rPr>
          <w:rFonts w:hint="eastAsia" w:ascii="仿宋" w:hAnsi="仿宋" w:eastAsia="仿宋" w:cs="仿宋"/>
          <w:lang w:val="en-US" w:eastAsia="zh-CN"/>
        </w:rPr>
        <w:t>进入立项填报页面</w:t>
      </w:r>
      <w:bookmarkEnd w:id="48"/>
      <w:bookmarkEnd w:id="49"/>
    </w:p>
    <w:p w14:paraId="0FC93FF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当立项申报通道开启时，学生可在信息门户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顶部栏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中，点击相应任务通道的“立即申报”按钮，即可进入立项申报页面；</w:t>
      </w:r>
    </w:p>
    <w:p w14:paraId="063F1D7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5420" cy="720725"/>
            <wp:effectExtent l="0" t="0" r="5080" b="3175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EFD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在项目管理系统-我的项目页面中，学生可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任务板中的带有“立即申报”标签的立项申报通道，进入立项申报页面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5FBA5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3351530"/>
            <wp:effectExtent l="0" t="0" r="635" b="1270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708F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14821083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0" w:name="_Toc15160"/>
      <w:r>
        <w:rPr>
          <w:rFonts w:hint="eastAsia" w:ascii="仿宋" w:hAnsi="仿宋" w:eastAsia="仿宋" w:cs="仿宋"/>
          <w:lang w:val="en-US" w:eastAsia="zh-CN"/>
        </w:rPr>
        <w:t>查看</w:t>
      </w:r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填报指南</w:t>
      </w:r>
      <w:bookmarkEnd w:id="50"/>
    </w:p>
    <w:p w14:paraId="242C25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首次进入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填报页会显示填报指南弹窗，阅读相应填报指南，关闭指南弹窗后，可点击填报页右下角提示按钮查看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0817D7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819650" cy="2559050"/>
            <wp:effectExtent l="0" t="0" r="6350" b="6350"/>
            <wp:docPr id="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5632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3107690"/>
            <wp:effectExtent l="0" t="0" r="317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D926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1" w:name="_Toc27527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项目信息填写</w:t>
      </w:r>
      <w:bookmarkEnd w:id="51"/>
    </w:p>
    <w:p w14:paraId="2869547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根据相应字段填写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项目信息；</w:t>
      </w:r>
    </w:p>
    <w:p w14:paraId="75F4458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1518285"/>
            <wp:effectExtent l="0" t="0" r="0" b="0"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rcRect b="451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1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CE6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平台后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，管理单位会默认选择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平台所属学院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375DF82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84810"/>
            <wp:effectExtent l="0" t="0" r="8890" b="8890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623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研究时间选择项目开始时间，选择后默认确定结束时间（按具体项目要求，一般为12个月），点击年份左侧和右侧的箭头可切换年份，点击相应月份即选择项目研究开始时间；</w:t>
      </w:r>
    </w:p>
    <w:p w14:paraId="43905B6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7F88C5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4132580"/>
            <wp:effectExtent l="0" t="0" r="635" b="7620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D3B9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2" w:name="_Toc24857"/>
      <w:r>
        <w:rPr>
          <w:rFonts w:hint="eastAsia" w:ascii="仿宋" w:hAnsi="仿宋" w:eastAsia="仿宋" w:cs="仿宋"/>
          <w:lang w:val="en-US" w:eastAsia="zh-CN"/>
        </w:rPr>
        <w:t>项目成员</w:t>
      </w:r>
      <w:r>
        <w:rPr>
          <w:rFonts w:hint="eastAsia" w:cs="仿宋"/>
          <w:lang w:val="en-US" w:eastAsia="zh-CN"/>
        </w:rPr>
        <w:t>选择</w:t>
      </w:r>
      <w:bookmarkEnd w:id="52"/>
    </w:p>
    <w:p w14:paraId="48E0BF4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1701800"/>
            <wp:effectExtent l="0" t="0" r="0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BFEE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添加的项目成员和指导教师若为校内用户，需点击“添加”按钮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1CD3A00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464050" cy="1930400"/>
            <wp:effectExtent l="0" t="0" r="6350" b="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57550" cy="1905000"/>
            <wp:effectExtent l="0" t="0" r="6350" b="0"/>
            <wp:docPr id="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E6AB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left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通过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搜索姓名、学号/工号搜索到相应用户，点击相应用户后的“选择”按钮，再点击“确定”按钮，即可将该用户添加至项目成员或指导教师。</w:t>
      </w: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2707640"/>
            <wp:effectExtent l="0" t="0" r="12065" b="10160"/>
            <wp:docPr id="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0D80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554730"/>
            <wp:effectExtent l="0" t="0" r="8890" b="1270"/>
            <wp:docPr id="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1DED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在“排名”输入框输入序号可设置相应用户在项目组内的排名；</w:t>
      </w:r>
    </w:p>
    <w:p w14:paraId="55B100E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057650" cy="1911350"/>
            <wp:effectExtent l="0" t="0" r="6350" b="6350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F28C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联系电话和邮箱非必填项目，若用户在系统内有相应信息则会自动输入；</w:t>
      </w:r>
    </w:p>
    <w:p w14:paraId="0794F5F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173480"/>
            <wp:effectExtent l="0" t="0" r="3175" b="7620"/>
            <wp:docPr id="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E83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项目组需设置一名项目组组长，点击按钮设置相应成员为项目组组长；</w:t>
      </w:r>
    </w:p>
    <w:p w14:paraId="0D60ABE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09950" cy="1797050"/>
            <wp:effectExtent l="0" t="0" r="6350" b="6350"/>
            <wp:docPr id="8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5286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点击相应成员后的“删除”按钮，可将该用户从项目组中移除；</w:t>
      </w:r>
    </w:p>
    <w:p w14:paraId="682C093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00450" cy="1752600"/>
            <wp:effectExtent l="0" t="0" r="6350" b="0"/>
            <wp:docPr id="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D34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根据立项通知公告，项目组成员会设置成员限制提示，若超过成员限制可能会审核不通过，若特殊情况可点击“继续添加”继续添加成员；</w:t>
      </w:r>
    </w:p>
    <w:p w14:paraId="7DE752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45100" cy="1587500"/>
            <wp:effectExtent l="0" t="0" r="0" b="0"/>
            <wp:docPr id="5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DDDB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点击相应页码切换成员列表页；</w:t>
      </w:r>
    </w:p>
    <w:p w14:paraId="7E873D5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1543050" cy="692150"/>
            <wp:effectExtent l="0" t="0" r="6350" b="6350"/>
            <wp:docPr id="5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6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FCD2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若需添加校外指导教师，则点击“添加校外”按钮，填写相应信息，点击“确定”按钮，可添加校外成员。</w:t>
      </w:r>
    </w:p>
    <w:p w14:paraId="0DDCDBB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29000" cy="1562100"/>
            <wp:effectExtent l="0" t="0" r="0" b="0"/>
            <wp:docPr id="9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465580"/>
            <wp:effectExtent l="0" t="0" r="1905" b="7620"/>
            <wp:docPr id="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91640"/>
            <wp:effectExtent l="0" t="0" r="1270" b="10160"/>
            <wp:docPr id="9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CF2F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3" w:name="_Toc9811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r>
        <w:rPr>
          <w:rFonts w:hint="eastAsia" w:cs="仿宋"/>
          <w:lang w:val="en-US" w:eastAsia="zh-CN"/>
        </w:rPr>
        <w:t>填写</w:t>
      </w:r>
      <w:bookmarkEnd w:id="53"/>
    </w:p>
    <w:p w14:paraId="2DB23C9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材料清单根据标题信息填写内容；</w:t>
      </w:r>
    </w:p>
    <w:p w14:paraId="403901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2245" cy="3021965"/>
            <wp:effectExtent l="0" t="0" r="8255" b="635"/>
            <wp:docPr id="5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02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B866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点击“点击上传”按钮可上传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申报书附件，上传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申报书相关附件内容需与填报内容符合；</w:t>
      </w:r>
    </w:p>
    <w:p w14:paraId="3F576E8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44900" cy="2673350"/>
            <wp:effectExtent l="0" t="0" r="0" b="6350"/>
            <wp:docPr id="3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AD35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4" w:name="_Toc30851"/>
      <w:r>
        <w:rPr>
          <w:rFonts w:hint="eastAsia" w:ascii="仿宋" w:hAnsi="仿宋" w:eastAsia="仿宋" w:cs="仿宋"/>
          <w:lang w:val="en-US" w:eastAsia="zh-CN"/>
        </w:rPr>
        <w:t>经费预算</w:t>
      </w:r>
      <w:r>
        <w:rPr>
          <w:rFonts w:hint="eastAsia" w:cs="仿宋"/>
          <w:lang w:val="en-US" w:eastAsia="zh-CN"/>
        </w:rPr>
        <w:t>填写</w:t>
      </w:r>
      <w:bookmarkEnd w:id="54"/>
    </w:p>
    <w:p w14:paraId="55CB2ED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6DF640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946785"/>
            <wp:effectExtent l="0" t="0" r="9525" b="5715"/>
            <wp:docPr id="9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1117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预算开支科目需选择已有项目；</w:t>
      </w:r>
    </w:p>
    <w:p w14:paraId="5EDB649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1953895"/>
            <wp:effectExtent l="0" t="0" r="0" b="0"/>
            <wp:docPr id="9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5"/>
                    <pic:cNvPicPr>
                      <a:picLocks noChangeAspect="1"/>
                    </pic:cNvPicPr>
                  </pic:nvPicPr>
                  <pic:blipFill>
                    <a:blip r:embed="rId45"/>
                    <a:srcRect t="147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66F8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预算金额有限制，填写时需注意合计金额。</w:t>
      </w:r>
    </w:p>
    <w:p w14:paraId="1274039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1379855"/>
            <wp:effectExtent l="0" t="0" r="1270" b="4445"/>
            <wp:docPr id="10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36F53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5" w:name="_Toc8525"/>
      <w:r>
        <w:rPr>
          <w:rFonts w:hint="eastAsia" w:ascii="仿宋" w:hAnsi="仿宋" w:eastAsia="仿宋" w:cs="仿宋"/>
          <w:lang w:val="en-US" w:eastAsia="zh-CN"/>
        </w:rPr>
        <w:t>提交/保存申报</w:t>
      </w:r>
      <w:bookmarkEnd w:id="55"/>
    </w:p>
    <w:p w14:paraId="4646966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项目申报填写完成后，可点击页面下方的“提交”按钮进行提交，或点击“保存”按钮保存当前申报；</w:t>
      </w:r>
    </w:p>
    <w:p w14:paraId="712932F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372C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已保存的项目申报在任务板中会显示“材料提交截止时间”和“提交”“删除”按钮；</w:t>
      </w:r>
    </w:p>
    <w:p w14:paraId="148D96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3310255"/>
            <wp:effectExtent l="0" t="0" r="0" b="4445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1ADE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点击任务板中的项目的“提交”按钮，或项目详情页中立项环节的“待提交”按钮，可进入保存的项目填报页进行继续填报和提交；</w:t>
      </w:r>
    </w:p>
    <w:p w14:paraId="1D5699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040" cy="3112135"/>
            <wp:effectExtent l="0" t="0" r="10160" b="12065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1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0324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点击任务板中相应项目的“删除”按钮，可删除已保存的项目申报；</w:t>
      </w:r>
    </w:p>
    <w:p w14:paraId="4CD2EFA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1135" cy="4052570"/>
            <wp:effectExtent l="0" t="0" r="12065" b="11430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24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已提交的项目可查看相应流程的申报审核进度。</w:t>
      </w:r>
    </w:p>
    <w:p w14:paraId="1D4EF9C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2827020"/>
            <wp:effectExtent l="0" t="0" r="9525" b="5080"/>
            <wp:docPr id="3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5F74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56" w:name="_Toc31247"/>
      <w:r>
        <w:rPr>
          <w:rFonts w:hint="eastAsia" w:ascii="仿宋" w:hAnsi="仿宋" w:eastAsia="仿宋" w:cs="仿宋"/>
          <w:lang w:val="en-US" w:eastAsia="zh-CN"/>
        </w:rPr>
        <w:t>查看项目详情</w:t>
      </w:r>
      <w:r>
        <w:rPr>
          <w:rFonts w:hint="eastAsia" w:cs="仿宋"/>
          <w:lang w:val="en-US" w:eastAsia="zh-CN"/>
        </w:rPr>
        <w:t>及往期项目</w:t>
      </w:r>
      <w:bookmarkEnd w:id="56"/>
    </w:p>
    <w:p w14:paraId="41A7800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01C7EF2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4452620"/>
            <wp:effectExtent l="0" t="0" r="635" b="5080"/>
            <wp:docPr id="3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ECDD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在项目详情板块，可查看项目流程、项目信息、项目审核进度，点击相应流程板块上的查看/提交按钮可进行相应查看、提交申报、提交材料操作。</w:t>
      </w:r>
    </w:p>
    <w:p w14:paraId="156C515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6690" cy="3173730"/>
            <wp:effectExtent l="0" t="0" r="3810" b="1270"/>
            <wp:docPr id="3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6595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5A77483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4150" cy="2628265"/>
            <wp:effectExtent l="0" t="0" r="6350" b="635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BBD72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57" w:name="_Toc8921"/>
      <w:r>
        <w:rPr>
          <w:rFonts w:hint="eastAsia" w:ascii="仿宋" w:hAnsi="仿宋" w:eastAsia="仿宋" w:cs="仿宋"/>
          <w:lang w:val="en-US" w:eastAsia="zh-CN"/>
        </w:rPr>
        <w:t>学生提交结题验收</w:t>
      </w:r>
      <w:r>
        <w:rPr>
          <w:rFonts w:hint="eastAsia" w:cs="仿宋"/>
          <w:lang w:val="en-US" w:eastAsia="zh-CN"/>
        </w:rPr>
        <w:t>申报</w:t>
      </w:r>
      <w:bookmarkEnd w:id="57"/>
    </w:p>
    <w:p w14:paraId="7CA6A6A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8" w:name="_Toc12495"/>
      <w:bookmarkStart w:id="59" w:name="_Toc18943"/>
      <w:r>
        <w:rPr>
          <w:rFonts w:hint="eastAsia" w:ascii="仿宋" w:hAnsi="仿宋" w:eastAsia="仿宋" w:cs="仿宋"/>
          <w:lang w:val="en-US" w:eastAsia="zh-CN"/>
        </w:rPr>
        <w:t>进入提交材料填报页面</w:t>
      </w:r>
      <w:bookmarkEnd w:id="58"/>
      <w:bookmarkEnd w:id="59"/>
    </w:p>
    <w:p w14:paraId="1D6B3E8F">
      <w:pPr>
        <w:pStyle w:val="6"/>
        <w:numPr>
          <w:ilvl w:val="3"/>
          <w:numId w:val="1"/>
        </w:numPr>
        <w:bidi w:val="0"/>
        <w:ind w:left="850" w:leftChars="0" w:hanging="85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通过信息门户进入</w:t>
      </w:r>
    </w:p>
    <w:p w14:paraId="4EC935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在信息门户的任务面板，若该项目前一流程已校级审核通过，且相应项目类型的结题验收流程通道已开启，该项目会显示“提交材料”按钮</w:t>
      </w:r>
      <w:r>
        <w:rPr>
          <w:rFonts w:hint="eastAsia" w:ascii="仿宋" w:hAnsi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点击“提交材料”按钮可进入相应的填报材料页面。</w:t>
      </w:r>
    </w:p>
    <w:p w14:paraId="6F3FAA0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68595" cy="2839085"/>
            <wp:effectExtent l="0" t="0" r="1905" b="5715"/>
            <wp:docPr id="3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78B2F">
      <w:pPr>
        <w:pStyle w:val="6"/>
        <w:numPr>
          <w:ilvl w:val="3"/>
          <w:numId w:val="1"/>
        </w:numPr>
        <w:bidi w:val="0"/>
        <w:ind w:left="850" w:leftChars="0" w:hanging="85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通过项目管理系统进入</w:t>
      </w:r>
    </w:p>
    <w:p w14:paraId="00C42C1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 项目管理系统-我的项目 页面，</w:t>
      </w:r>
      <w:r>
        <w:rPr>
          <w:rFonts w:hint="eastAsia" w:ascii="仿宋" w:hAnsi="仿宋" w:eastAsia="仿宋" w:cs="仿宋"/>
          <w:sz w:val="28"/>
          <w:szCs w:val="28"/>
        </w:rPr>
        <w:t>点击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</w:t>
      </w:r>
      <w:r>
        <w:rPr>
          <w:rFonts w:hint="eastAsia" w:ascii="仿宋" w:hAnsi="仿宋" w:eastAsia="仿宋" w:cs="仿宋"/>
          <w:sz w:val="28"/>
          <w:szCs w:val="28"/>
        </w:rPr>
        <w:t>任务板中的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带“提交”标识和蓝色提示点的待提交项目，点击“提交”按钮</w:t>
      </w:r>
      <w:r>
        <w:rPr>
          <w:rFonts w:hint="eastAsia" w:ascii="仿宋" w:hAnsi="仿宋" w:eastAsia="仿宋" w:cs="仿宋"/>
          <w:sz w:val="28"/>
          <w:szCs w:val="28"/>
        </w:rPr>
        <w:t>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或在详情页点击</w:t>
      </w:r>
      <w:r>
        <w:rPr>
          <w:rFonts w:hint="eastAsia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环节板块的“待提交”</w:t>
      </w:r>
      <w:r>
        <w:rPr>
          <w:rFonts w:hint="eastAsia" w:ascii="仿宋" w:hAnsi="仿宋" w:eastAsia="仿宋" w:cs="仿宋"/>
          <w:sz w:val="28"/>
          <w:szCs w:val="28"/>
        </w:rPr>
        <w:t>进行</w:t>
      </w:r>
      <w:r>
        <w:rPr>
          <w:rFonts w:hint="eastAsia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材料提交</w:t>
      </w:r>
      <w:r>
        <w:rPr>
          <w:rFonts w:hint="eastAsia" w:ascii="仿宋" w:hAnsi="仿宋" w:eastAsia="仿宋" w:cs="仿宋"/>
          <w:sz w:val="28"/>
          <w:szCs w:val="28"/>
        </w:rPr>
        <w:t>。</w:t>
      </w:r>
    </w:p>
    <w:p w14:paraId="2CE060A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4785" cy="1460500"/>
            <wp:effectExtent l="0" t="0" r="5715" b="0"/>
            <wp:docPr id="3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C0F0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0" w:name="_Toc32754"/>
      <w:r>
        <w:rPr>
          <w:rFonts w:hint="eastAsia" w:ascii="仿宋" w:hAnsi="仿宋" w:eastAsia="仿宋" w:cs="仿宋"/>
          <w:lang w:val="en-US" w:eastAsia="zh-CN"/>
        </w:rPr>
        <w:t>查看</w:t>
      </w:r>
      <w:r>
        <w:rPr>
          <w:rFonts w:hint="eastAsia" w:cs="仿宋"/>
          <w:lang w:val="en-US" w:eastAsia="zh-CN"/>
        </w:rPr>
        <w:t>结题</w:t>
      </w:r>
      <w:r>
        <w:rPr>
          <w:rFonts w:hint="eastAsia" w:ascii="仿宋" w:hAnsi="仿宋" w:eastAsia="仿宋" w:cs="仿宋"/>
          <w:lang w:val="en-US" w:eastAsia="zh-CN"/>
        </w:rPr>
        <w:t>填报指南</w:t>
      </w:r>
      <w:bookmarkEnd w:id="60"/>
    </w:p>
    <w:p w14:paraId="48F5593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首次进入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填报页会显示填报指南弹窗，阅读相应填报指南，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退出提交材料页后再进入页面可重新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查看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55D5F6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/>
        </w:rPr>
      </w:pPr>
      <w:r>
        <w:drawing>
          <wp:inline distT="0" distB="0" distL="114300" distR="114300">
            <wp:extent cx="5260975" cy="2600960"/>
            <wp:effectExtent l="0" t="0" r="0" b="0"/>
            <wp:docPr id="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1"/>
                    </pic:cNvPicPr>
                  </pic:nvPicPr>
                  <pic:blipFill>
                    <a:blip r:embed="rId57"/>
                    <a:srcRect b="764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685C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1" w:name="_Toc27668"/>
      <w:r>
        <w:rPr>
          <w:rFonts w:hint="eastAsia" w:cs="仿宋"/>
          <w:lang w:val="en-US" w:eastAsia="zh-CN"/>
        </w:rPr>
        <w:t>结题验收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bookmarkEnd w:id="61"/>
    </w:p>
    <w:p w14:paraId="0AB4F92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根据填报字段标题填写材料清单，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在上传附件处点击“点击上传”按钮，上传结题验收所需附件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060D90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9865" cy="2334895"/>
            <wp:effectExtent l="0" t="0" r="635" b="1905"/>
            <wp:docPr id="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8FD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2" w:name="_Toc3368"/>
      <w:r>
        <w:rPr>
          <w:rFonts w:hint="eastAsia" w:cs="仿宋"/>
          <w:lang w:val="en-US" w:eastAsia="zh-CN"/>
        </w:rPr>
        <w:t>结题验收成果统计</w:t>
      </w:r>
      <w:bookmarkEnd w:id="62"/>
    </w:p>
    <w:p w14:paraId="0860847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成果统计表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，在成果统计中点击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相应成果形式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“添加”按钮，可添加成果填写栏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，成果统计形式包括论文、专利、实物作品、软件系统、竞赛获奖情况及其他形式成果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16BEC84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960" cy="1957070"/>
            <wp:effectExtent l="0" t="0" r="2540" b="11430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E958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3" w:name="_Toc2868"/>
      <w:r>
        <w:rPr>
          <w:rFonts w:hint="eastAsia" w:ascii="仿宋" w:hAnsi="仿宋" w:eastAsia="仿宋" w:cs="仿宋"/>
          <w:lang w:val="en-US" w:eastAsia="zh-CN"/>
        </w:rPr>
        <w:t>经费使用</w:t>
      </w:r>
      <w:r>
        <w:rPr>
          <w:rFonts w:hint="eastAsia" w:cs="仿宋"/>
          <w:lang w:val="en-US" w:eastAsia="zh-CN"/>
        </w:rPr>
        <w:t>填写</w:t>
      </w:r>
      <w:bookmarkEnd w:id="63"/>
    </w:p>
    <w:p w14:paraId="7CB11C1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31676DC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1311275"/>
            <wp:effectExtent l="0" t="0" r="635" b="9525"/>
            <wp:docPr id="11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370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支出分类需选择已有项目；</w:t>
      </w:r>
    </w:p>
    <w:p w14:paraId="2040051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362200" cy="1047750"/>
            <wp:effectExtent l="0" t="0" r="0" b="6350"/>
            <wp:docPr id="8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EF7D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4" w:name="_Toc30765"/>
      <w:r>
        <w:rPr>
          <w:rFonts w:hint="eastAsia" w:ascii="仿宋" w:hAnsi="仿宋" w:eastAsia="仿宋" w:cs="仿宋"/>
          <w:lang w:val="en-US" w:eastAsia="zh-CN"/>
        </w:rPr>
        <w:t>提交/保存</w:t>
      </w:r>
      <w:r>
        <w:rPr>
          <w:rFonts w:hint="eastAsia" w:cs="仿宋"/>
          <w:lang w:val="en-US" w:eastAsia="zh-CN"/>
        </w:rPr>
        <w:t>结题验收申报</w:t>
      </w:r>
      <w:bookmarkEnd w:id="64"/>
    </w:p>
    <w:p w14:paraId="508C4AB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项目结题验收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申报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填写完成后，可点击页面下方的“提交”按钮进行提交，或点击“保存”按钮保存当前材料填报内容；</w:t>
      </w:r>
    </w:p>
    <w:p w14:paraId="3AA905F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1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E6A4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申报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可在任务板中点击“提交”按钮，或在项目详情板块点击相应流程的“待提交”按钮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，进入结题验收页面编辑再提交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。</w:t>
      </w:r>
    </w:p>
    <w:p w14:paraId="2E48E42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7960" cy="3514725"/>
            <wp:effectExtent l="0" t="0" r="2540" b="3175"/>
            <wp:docPr id="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CE67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5" w:name="_Toc21618"/>
      <w:bookmarkStart w:id="66" w:name="_Toc6935"/>
      <w:r>
        <w:rPr>
          <w:rFonts w:hint="eastAsia" w:cs="仿宋"/>
          <w:lang w:val="en-US" w:eastAsia="zh-CN"/>
        </w:rPr>
        <w:t>申请项目延期</w:t>
      </w:r>
      <w:bookmarkEnd w:id="65"/>
      <w:bookmarkEnd w:id="66"/>
    </w:p>
    <w:p w14:paraId="5F847D0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流程中，可在结题验收页面-材料清单-上传附件处，仅上传填写好的《本科生创新实践工程项目延期申请表》并提交，待指导教师或管理员审核后，项目即可延期。</w:t>
      </w:r>
    </w:p>
    <w:p w14:paraId="2492A29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3032125"/>
            <wp:effectExtent l="0" t="0" r="10795" b="3175"/>
            <wp:docPr id="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B03F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7" w:name="_Toc3338"/>
      <w:bookmarkStart w:id="68" w:name="_Toc22344"/>
      <w:r>
        <w:rPr>
          <w:rFonts w:hint="eastAsia" w:cs="仿宋"/>
          <w:lang w:val="en-US" w:eastAsia="zh-CN"/>
        </w:rPr>
        <w:t>申请项目中止</w:t>
      </w:r>
      <w:bookmarkEnd w:id="67"/>
      <w:bookmarkEnd w:id="68"/>
    </w:p>
    <w:p w14:paraId="40864DC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在中期检查流程中，可在中期检查页面-材料清单-上传附件处，仅上传填写好的《本科生创新实践工程项目中止报告单》并提交，待指导教师或管理员审核后，项目即中止。</w:t>
      </w:r>
    </w:p>
    <w:p w14:paraId="4C60B8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7960" cy="2715260"/>
            <wp:effectExtent l="0" t="0" r="2540" b="2540"/>
            <wp:docPr id="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647D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9" w:name="_Toc25985"/>
      <w:bookmarkStart w:id="70" w:name="_Toc5229"/>
      <w:bookmarkStart w:id="71" w:name="_Toc19609"/>
      <w:r>
        <w:rPr>
          <w:rFonts w:hint="eastAsia" w:cs="仿宋"/>
          <w:lang w:val="en-US" w:eastAsia="zh-CN"/>
        </w:rPr>
        <w:t>下载结题证书</w:t>
      </w:r>
      <w:bookmarkEnd w:id="69"/>
      <w:bookmarkEnd w:id="70"/>
      <w:bookmarkEnd w:id="71"/>
    </w:p>
    <w:p w14:paraId="3E633F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cs="仿宋"/>
          <w:sz w:val="28"/>
          <w:szCs w:val="28"/>
          <w:lang w:val="en-US" w:eastAsia="zh-CN"/>
        </w:rPr>
        <w:t>当项目校级审核通过后即结题完成，点击“已完结项目”，可查看已结题完成的科创项目，项目结题后可在列表中下载</w:t>
      </w:r>
      <w:r>
        <w:rPr>
          <w:rFonts w:hint="eastAsia" w:ascii="仿宋" w:hAnsi="仿宋" w:cs="仿宋"/>
          <w:sz w:val="28"/>
          <w:szCs w:val="28"/>
          <w:lang w:val="en-US" w:eastAsia="zh-CN"/>
        </w:rPr>
        <w:t>。</w:t>
      </w:r>
    </w:p>
    <w:p w14:paraId="763953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889250"/>
            <wp:effectExtent l="0" t="0" r="3810" b="6350"/>
            <wp:docPr id="5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0EC26D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D1B2BAA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D1B2BAA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F30BFB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CADBD4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CADBD4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41D315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6342FD5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6342FD5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3964864"/>
    <w:multiLevelType w:val="multilevel"/>
    <w:tmpl w:val="43964864"/>
    <w:lvl w:ilvl="0" w:tentative="0">
      <w:start w:val="1"/>
      <w:numFmt w:val="decimal"/>
      <w:pStyle w:val="2"/>
      <w:suff w:val="space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166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47975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71790F"/>
    <w:rsid w:val="01730582"/>
    <w:rsid w:val="01853E11"/>
    <w:rsid w:val="018B08E9"/>
    <w:rsid w:val="018D5B0B"/>
    <w:rsid w:val="01D11082"/>
    <w:rsid w:val="01F022DF"/>
    <w:rsid w:val="024617F2"/>
    <w:rsid w:val="025942ED"/>
    <w:rsid w:val="0270061D"/>
    <w:rsid w:val="02781BC8"/>
    <w:rsid w:val="0285448E"/>
    <w:rsid w:val="02987B74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DD3B11"/>
    <w:rsid w:val="05E27A84"/>
    <w:rsid w:val="06030028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9D343C"/>
    <w:rsid w:val="08DC3952"/>
    <w:rsid w:val="08DF2604"/>
    <w:rsid w:val="08E9737B"/>
    <w:rsid w:val="09594501"/>
    <w:rsid w:val="096B280A"/>
    <w:rsid w:val="09750EA6"/>
    <w:rsid w:val="097A10D5"/>
    <w:rsid w:val="099B2651"/>
    <w:rsid w:val="09A45D6D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B0A5387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30706F"/>
    <w:rsid w:val="0C4534DD"/>
    <w:rsid w:val="0C5E0E4C"/>
    <w:rsid w:val="0C6D4FAE"/>
    <w:rsid w:val="0CD45D8A"/>
    <w:rsid w:val="0D496C99"/>
    <w:rsid w:val="0D5D6566"/>
    <w:rsid w:val="0D932DF5"/>
    <w:rsid w:val="0DB4768B"/>
    <w:rsid w:val="0DD24882"/>
    <w:rsid w:val="0DFE4EC3"/>
    <w:rsid w:val="0E364E11"/>
    <w:rsid w:val="0E3D648A"/>
    <w:rsid w:val="0E501F16"/>
    <w:rsid w:val="0E5F448C"/>
    <w:rsid w:val="0EC266A4"/>
    <w:rsid w:val="0EE05EF8"/>
    <w:rsid w:val="0EE36881"/>
    <w:rsid w:val="0F331703"/>
    <w:rsid w:val="0F514F9E"/>
    <w:rsid w:val="0F642502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A964FB"/>
    <w:rsid w:val="10B01222"/>
    <w:rsid w:val="10DB57FB"/>
    <w:rsid w:val="10DD2E60"/>
    <w:rsid w:val="10E418B0"/>
    <w:rsid w:val="10F0334D"/>
    <w:rsid w:val="11204B7E"/>
    <w:rsid w:val="11643A43"/>
    <w:rsid w:val="11657410"/>
    <w:rsid w:val="118F55C6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CB1543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B55B78"/>
    <w:rsid w:val="13BE3AC0"/>
    <w:rsid w:val="13C62793"/>
    <w:rsid w:val="13DD4721"/>
    <w:rsid w:val="13DF3855"/>
    <w:rsid w:val="13E902AE"/>
    <w:rsid w:val="13EF6EA1"/>
    <w:rsid w:val="13F47953"/>
    <w:rsid w:val="13FF37F9"/>
    <w:rsid w:val="140D3CDF"/>
    <w:rsid w:val="141505C3"/>
    <w:rsid w:val="14445DAD"/>
    <w:rsid w:val="148D1503"/>
    <w:rsid w:val="149F1EE5"/>
    <w:rsid w:val="14C2599C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540C6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A36516"/>
    <w:rsid w:val="19EB2F63"/>
    <w:rsid w:val="1A0C1919"/>
    <w:rsid w:val="1A1B4EBB"/>
    <w:rsid w:val="1A335189"/>
    <w:rsid w:val="1A9A04D5"/>
    <w:rsid w:val="1AA634C0"/>
    <w:rsid w:val="1AA749A0"/>
    <w:rsid w:val="1AD42CA1"/>
    <w:rsid w:val="1B2B737F"/>
    <w:rsid w:val="1B2C48F4"/>
    <w:rsid w:val="1B544B28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546D62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1BE17D8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14BD1"/>
    <w:rsid w:val="23D407EE"/>
    <w:rsid w:val="23E1585C"/>
    <w:rsid w:val="240F1567"/>
    <w:rsid w:val="242D5F16"/>
    <w:rsid w:val="24343749"/>
    <w:rsid w:val="24392B0D"/>
    <w:rsid w:val="24480FA2"/>
    <w:rsid w:val="244E7879"/>
    <w:rsid w:val="244F5070"/>
    <w:rsid w:val="245E6D18"/>
    <w:rsid w:val="24A706AA"/>
    <w:rsid w:val="24CA7739"/>
    <w:rsid w:val="24F0302F"/>
    <w:rsid w:val="25103E1B"/>
    <w:rsid w:val="25171F25"/>
    <w:rsid w:val="251B4478"/>
    <w:rsid w:val="251C6B1C"/>
    <w:rsid w:val="25567B86"/>
    <w:rsid w:val="255F75A2"/>
    <w:rsid w:val="25712A8C"/>
    <w:rsid w:val="25893620"/>
    <w:rsid w:val="258D5F41"/>
    <w:rsid w:val="25F00DA6"/>
    <w:rsid w:val="25F1147C"/>
    <w:rsid w:val="25F75DDA"/>
    <w:rsid w:val="26377E76"/>
    <w:rsid w:val="264F6618"/>
    <w:rsid w:val="26734A8A"/>
    <w:rsid w:val="267E7C2E"/>
    <w:rsid w:val="26EA77A0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8170C1"/>
    <w:rsid w:val="298C36DF"/>
    <w:rsid w:val="29A206BB"/>
    <w:rsid w:val="29A45D9F"/>
    <w:rsid w:val="29CD2BCE"/>
    <w:rsid w:val="2A202079"/>
    <w:rsid w:val="2A435481"/>
    <w:rsid w:val="2A452816"/>
    <w:rsid w:val="2A5B648A"/>
    <w:rsid w:val="2AA03F8A"/>
    <w:rsid w:val="2AA73EC2"/>
    <w:rsid w:val="2AA91F5E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8D7E9A"/>
    <w:rsid w:val="2CD32813"/>
    <w:rsid w:val="2CD37E34"/>
    <w:rsid w:val="2CF6225B"/>
    <w:rsid w:val="2D0F6B01"/>
    <w:rsid w:val="2D5811EF"/>
    <w:rsid w:val="2D7C2002"/>
    <w:rsid w:val="2D985537"/>
    <w:rsid w:val="2DC25921"/>
    <w:rsid w:val="2DCB79E8"/>
    <w:rsid w:val="2DE146BD"/>
    <w:rsid w:val="2DF44D33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BA000D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41175D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C65786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415CC5"/>
    <w:rsid w:val="354C4489"/>
    <w:rsid w:val="355F7EFA"/>
    <w:rsid w:val="358A2642"/>
    <w:rsid w:val="35AC7D9A"/>
    <w:rsid w:val="35CF7BC4"/>
    <w:rsid w:val="35EF1183"/>
    <w:rsid w:val="360215F7"/>
    <w:rsid w:val="36145188"/>
    <w:rsid w:val="36722E6A"/>
    <w:rsid w:val="36F037DC"/>
    <w:rsid w:val="370621EB"/>
    <w:rsid w:val="370648C9"/>
    <w:rsid w:val="37D75E68"/>
    <w:rsid w:val="37E64B17"/>
    <w:rsid w:val="38183972"/>
    <w:rsid w:val="382B67B9"/>
    <w:rsid w:val="384358B1"/>
    <w:rsid w:val="38446707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253F5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C833BE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247F32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2E1CEE"/>
    <w:rsid w:val="405C7EC3"/>
    <w:rsid w:val="40B943DC"/>
    <w:rsid w:val="40C451A5"/>
    <w:rsid w:val="40DE28B3"/>
    <w:rsid w:val="410302D3"/>
    <w:rsid w:val="4111001F"/>
    <w:rsid w:val="41123F18"/>
    <w:rsid w:val="4124398E"/>
    <w:rsid w:val="4134048C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9A0F3B"/>
    <w:rsid w:val="42A94EAA"/>
    <w:rsid w:val="42EC79E8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1072C9"/>
    <w:rsid w:val="453172FD"/>
    <w:rsid w:val="45541875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967DC2"/>
    <w:rsid w:val="49BB2948"/>
    <w:rsid w:val="49E7541E"/>
    <w:rsid w:val="49FB2932"/>
    <w:rsid w:val="4A3634C7"/>
    <w:rsid w:val="4A3D5728"/>
    <w:rsid w:val="4A6A49D5"/>
    <w:rsid w:val="4AE62C97"/>
    <w:rsid w:val="4B0B6CA9"/>
    <w:rsid w:val="4B1A3E58"/>
    <w:rsid w:val="4B386DCB"/>
    <w:rsid w:val="4B4F00B3"/>
    <w:rsid w:val="4B56F45F"/>
    <w:rsid w:val="4B5A0F51"/>
    <w:rsid w:val="4B742315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CEA25B3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6B6D67"/>
    <w:rsid w:val="4E916F1E"/>
    <w:rsid w:val="4EA330F5"/>
    <w:rsid w:val="4F211279"/>
    <w:rsid w:val="4F5B577E"/>
    <w:rsid w:val="4F634B6C"/>
    <w:rsid w:val="4F73681E"/>
    <w:rsid w:val="4FAA2183"/>
    <w:rsid w:val="4FDE0B99"/>
    <w:rsid w:val="503A757A"/>
    <w:rsid w:val="5075461D"/>
    <w:rsid w:val="50D92DFE"/>
    <w:rsid w:val="50DF27BA"/>
    <w:rsid w:val="50E45FBA"/>
    <w:rsid w:val="5107796B"/>
    <w:rsid w:val="51140917"/>
    <w:rsid w:val="51145BE4"/>
    <w:rsid w:val="51323F3D"/>
    <w:rsid w:val="51375BC8"/>
    <w:rsid w:val="513B2C5D"/>
    <w:rsid w:val="513E3305"/>
    <w:rsid w:val="5164091A"/>
    <w:rsid w:val="516559FF"/>
    <w:rsid w:val="51673B9D"/>
    <w:rsid w:val="51712933"/>
    <w:rsid w:val="517B3EB5"/>
    <w:rsid w:val="51AA39C6"/>
    <w:rsid w:val="51D2312C"/>
    <w:rsid w:val="51F05F5B"/>
    <w:rsid w:val="51FF3797"/>
    <w:rsid w:val="52004F79"/>
    <w:rsid w:val="520C1C45"/>
    <w:rsid w:val="523B7A5F"/>
    <w:rsid w:val="526F3A1A"/>
    <w:rsid w:val="527036FA"/>
    <w:rsid w:val="528A4E74"/>
    <w:rsid w:val="52B45204"/>
    <w:rsid w:val="52B46AED"/>
    <w:rsid w:val="52BE6791"/>
    <w:rsid w:val="52F22B01"/>
    <w:rsid w:val="5326600C"/>
    <w:rsid w:val="533618D5"/>
    <w:rsid w:val="534F76A4"/>
    <w:rsid w:val="535147D0"/>
    <w:rsid w:val="539F104B"/>
    <w:rsid w:val="53BD07B5"/>
    <w:rsid w:val="53DD144C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566F57"/>
    <w:rsid w:val="57686C8A"/>
    <w:rsid w:val="57C06AC6"/>
    <w:rsid w:val="57D75729"/>
    <w:rsid w:val="57E16096"/>
    <w:rsid w:val="57ED1642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255DA8"/>
    <w:rsid w:val="593523FE"/>
    <w:rsid w:val="593A23F6"/>
    <w:rsid w:val="5963595B"/>
    <w:rsid w:val="599117E7"/>
    <w:rsid w:val="599C3715"/>
    <w:rsid w:val="59D80DBD"/>
    <w:rsid w:val="59EB0623"/>
    <w:rsid w:val="59F132C2"/>
    <w:rsid w:val="5A0E2E8C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E125F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8209F5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E47698"/>
    <w:rsid w:val="6410048D"/>
    <w:rsid w:val="643E408E"/>
    <w:rsid w:val="64C6793F"/>
    <w:rsid w:val="64EC0EFA"/>
    <w:rsid w:val="64EC195E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703465"/>
    <w:rsid w:val="66D22D85"/>
    <w:rsid w:val="66D32DBC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203026"/>
    <w:rsid w:val="6D37068B"/>
    <w:rsid w:val="6D3A5AE8"/>
    <w:rsid w:val="6D4A0EB4"/>
    <w:rsid w:val="6D4E7641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2D2798"/>
    <w:rsid w:val="6E3F277C"/>
    <w:rsid w:val="6E486BBF"/>
    <w:rsid w:val="6E4E6868"/>
    <w:rsid w:val="6ECD3B4B"/>
    <w:rsid w:val="6EEB0135"/>
    <w:rsid w:val="6F1E6154"/>
    <w:rsid w:val="6F3C490B"/>
    <w:rsid w:val="6F4638FD"/>
    <w:rsid w:val="6F703AC2"/>
    <w:rsid w:val="6F92005D"/>
    <w:rsid w:val="6F9D34B0"/>
    <w:rsid w:val="6FB4739E"/>
    <w:rsid w:val="6FD12C00"/>
    <w:rsid w:val="6FDF31E0"/>
    <w:rsid w:val="6FEA7761"/>
    <w:rsid w:val="701B33E0"/>
    <w:rsid w:val="701F1AB3"/>
    <w:rsid w:val="70233F1E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2317D"/>
    <w:rsid w:val="71A3536C"/>
    <w:rsid w:val="71B93EF5"/>
    <w:rsid w:val="7228080D"/>
    <w:rsid w:val="72473A9C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21229B"/>
    <w:rsid w:val="734343DB"/>
    <w:rsid w:val="734865C6"/>
    <w:rsid w:val="738549F4"/>
    <w:rsid w:val="73875DC9"/>
    <w:rsid w:val="738844E4"/>
    <w:rsid w:val="73C36ED4"/>
    <w:rsid w:val="73D05D1F"/>
    <w:rsid w:val="73E9564F"/>
    <w:rsid w:val="741C4025"/>
    <w:rsid w:val="74352F65"/>
    <w:rsid w:val="743C22AC"/>
    <w:rsid w:val="744A5272"/>
    <w:rsid w:val="746B436F"/>
    <w:rsid w:val="747F11D5"/>
    <w:rsid w:val="7481201D"/>
    <w:rsid w:val="749B0247"/>
    <w:rsid w:val="749C0E72"/>
    <w:rsid w:val="74D467A7"/>
    <w:rsid w:val="74FA4F6E"/>
    <w:rsid w:val="74FC5747"/>
    <w:rsid w:val="750E70AC"/>
    <w:rsid w:val="751A73BE"/>
    <w:rsid w:val="753C0D3B"/>
    <w:rsid w:val="75585EB2"/>
    <w:rsid w:val="757C74A5"/>
    <w:rsid w:val="757C7F87"/>
    <w:rsid w:val="758E3908"/>
    <w:rsid w:val="75BE41ED"/>
    <w:rsid w:val="75C70541"/>
    <w:rsid w:val="76361FD5"/>
    <w:rsid w:val="763E7EBC"/>
    <w:rsid w:val="766E250E"/>
    <w:rsid w:val="76723C01"/>
    <w:rsid w:val="76A3502F"/>
    <w:rsid w:val="76AA2A57"/>
    <w:rsid w:val="76D23CA2"/>
    <w:rsid w:val="76D538BB"/>
    <w:rsid w:val="76D60C91"/>
    <w:rsid w:val="76E45ED5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446A3B"/>
    <w:rsid w:val="786D7E17"/>
    <w:rsid w:val="78735D09"/>
    <w:rsid w:val="78910496"/>
    <w:rsid w:val="789A599B"/>
    <w:rsid w:val="78A17549"/>
    <w:rsid w:val="78CD4940"/>
    <w:rsid w:val="78D631FC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6F5462"/>
    <w:rsid w:val="7A744793"/>
    <w:rsid w:val="7A8E70C4"/>
    <w:rsid w:val="7A9419C0"/>
    <w:rsid w:val="7AAA31CC"/>
    <w:rsid w:val="7AB357AC"/>
    <w:rsid w:val="7AD1051F"/>
    <w:rsid w:val="7AD1602C"/>
    <w:rsid w:val="7ADB44D6"/>
    <w:rsid w:val="7AF67F85"/>
    <w:rsid w:val="7AF94DD4"/>
    <w:rsid w:val="7B1C7893"/>
    <w:rsid w:val="7B24108D"/>
    <w:rsid w:val="7B2E62DB"/>
    <w:rsid w:val="7B3B1E3C"/>
    <w:rsid w:val="7B5829EE"/>
    <w:rsid w:val="7B601B5B"/>
    <w:rsid w:val="7B6B464F"/>
    <w:rsid w:val="7B7B66D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63C77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80" w:firstLineChars="20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0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1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2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keepNext/>
      <w:keepLines/>
      <w:spacing w:line="240" w:lineRule="auto"/>
      <w:ind w:firstLine="0" w:firstLineChars="0"/>
      <w:jc w:val="left"/>
      <w:outlineLvl w:val="3"/>
    </w:pPr>
    <w:rPr>
      <w:rFonts w:asciiTheme="majorAscii" w:hAnsiTheme="majorAscii" w:cstheme="majorBidi"/>
      <w:sz w:val="30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7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4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3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1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2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4">
    <w:name w:val="页脚 字符"/>
    <w:basedOn w:val="25"/>
    <w:link w:val="16"/>
    <w:qFormat/>
    <w:uiPriority w:val="99"/>
    <w:rPr>
      <w:sz w:val="18"/>
      <w:szCs w:val="18"/>
    </w:rPr>
  </w:style>
  <w:style w:type="paragraph" w:customStyle="1" w:styleId="35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6">
    <w:name w:val="标准文件_一级条标题"/>
    <w:basedOn w:val="1"/>
    <w:next w:val="35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7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8">
    <w:name w:val="List Paragraph"/>
    <w:basedOn w:val="1"/>
    <w:qFormat/>
    <w:uiPriority w:val="34"/>
    <w:pPr>
      <w:ind w:firstLine="420" w:firstLineChars="200"/>
    </w:pPr>
  </w:style>
  <w:style w:type="character" w:customStyle="1" w:styleId="39">
    <w:name w:val="标题 4 字符"/>
    <w:basedOn w:val="25"/>
    <w:link w:val="6"/>
    <w:qFormat/>
    <w:uiPriority w:val="0"/>
    <w:rPr>
      <w:rFonts w:eastAsia="仿宋" w:asciiTheme="majorAscii" w:hAnsiTheme="majorAscii" w:cstheme="majorBidi"/>
      <w:b/>
      <w:bCs/>
      <w:sz w:val="30"/>
      <w:szCs w:val="28"/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8" Type="http://schemas.openxmlformats.org/officeDocument/2006/relationships/fontTable" Target="fontTable.xml"/><Relationship Id="rId67" Type="http://schemas.openxmlformats.org/officeDocument/2006/relationships/numbering" Target="numbering.xml"/><Relationship Id="rId66" Type="http://schemas.openxmlformats.org/officeDocument/2006/relationships/customXml" Target="../customXml/item1.xml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26</Pages>
  <Words>2491</Words>
  <Characters>2645</Characters>
  <Lines>1</Lines>
  <Paragraphs>1</Paragraphs>
  <TotalTime>0</TotalTime>
  <ScaleCrop>false</ScaleCrop>
  <LinksUpToDate>false</LinksUpToDate>
  <CharactersWithSpaces>2750</CharactersWithSpaces>
  <Application>WPS Office_12.8.2.19823_F1E327BC-269C-435d-A152-05C5408002CA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2026-03-31T06:21:40Z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2052-12.8.2.19823</vt:lpwstr>
  </property>
  <property fmtid="{D5CDD505-2E9C-101B-9397-08002B2CF9AE}" pid="3" name="ICV">
    <vt:lpwstr>2CBE2A5F835848A8BEA89AB07A55CC6D_13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